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3C" w:rsidRDefault="00E00EF1" w:rsidP="00E20E3C">
      <w:pPr>
        <w:jc w:val="center"/>
        <w:rPr>
          <w:rFonts w:cs="Arial"/>
          <w:b/>
          <w:bCs/>
          <w:sz w:val="32"/>
          <w:szCs w:val="32"/>
        </w:rPr>
      </w:pPr>
      <w:r w:rsidRPr="00E00EF1">
        <w:rPr>
          <w:rFonts w:cs="Arial" w:hint="cs"/>
          <w:b/>
          <w:bCs/>
          <w:sz w:val="32"/>
          <w:szCs w:val="32"/>
          <w:rtl/>
        </w:rPr>
        <w:t>جدول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متابعة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مشاريع</w:t>
      </w:r>
      <w:r w:rsidRPr="00E00EF1">
        <w:rPr>
          <w:rFonts w:cs="Arial"/>
          <w:b/>
          <w:bCs/>
          <w:sz w:val="32"/>
          <w:szCs w:val="32"/>
          <w:rtl/>
        </w:rPr>
        <w:t xml:space="preserve">  </w:t>
      </w:r>
      <w:r w:rsidRPr="00E00EF1">
        <w:rPr>
          <w:rFonts w:cs="Arial" w:hint="cs"/>
          <w:b/>
          <w:bCs/>
          <w:sz w:val="32"/>
          <w:szCs w:val="32"/>
          <w:rtl/>
        </w:rPr>
        <w:t>نهاية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الدراسة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لطلبة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السنـــة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الثانيـــة</w:t>
      </w:r>
      <w:r w:rsidRPr="00E00EF1">
        <w:rPr>
          <w:rFonts w:cs="Arial"/>
          <w:b/>
          <w:bCs/>
          <w:sz w:val="32"/>
          <w:szCs w:val="32"/>
          <w:rtl/>
        </w:rPr>
        <w:t xml:space="preserve"> </w:t>
      </w:r>
      <w:r w:rsidRPr="00E00EF1">
        <w:rPr>
          <w:rFonts w:cs="Arial" w:hint="cs"/>
          <w:b/>
          <w:bCs/>
          <w:sz w:val="32"/>
          <w:szCs w:val="32"/>
          <w:rtl/>
        </w:rPr>
        <w:t>ماستر</w:t>
      </w:r>
    </w:p>
    <w:p w:rsidR="00E00EF1" w:rsidRDefault="00E00EF1" w:rsidP="00E00EF1">
      <w:pPr>
        <w:jc w:val="center"/>
        <w:rPr>
          <w:rFonts w:cs="Arial"/>
          <w:b/>
          <w:bCs/>
          <w:sz w:val="32"/>
          <w:szCs w:val="32"/>
          <w:rtl/>
        </w:rPr>
      </w:pPr>
      <w:r w:rsidRPr="00E00EF1">
        <w:rPr>
          <w:rFonts w:cs="Arial" w:hint="cs"/>
          <w:b/>
          <w:bCs/>
          <w:sz w:val="32"/>
          <w:szCs w:val="32"/>
          <w:rtl/>
        </w:rPr>
        <w:t>التخصص</w:t>
      </w:r>
      <w:r w:rsidRPr="00E00EF1">
        <w:rPr>
          <w:rFonts w:cs="Arial"/>
          <w:b/>
          <w:bCs/>
          <w:sz w:val="32"/>
          <w:szCs w:val="32"/>
          <w:rtl/>
        </w:rPr>
        <w:t xml:space="preserve"> :</w:t>
      </w:r>
      <w:r w:rsidRPr="00E00EF1">
        <w:rPr>
          <w:rFonts w:cs="Arial" w:hint="cs"/>
          <w:b/>
          <w:bCs/>
          <w:sz w:val="32"/>
          <w:szCs w:val="32"/>
          <w:rtl/>
        </w:rPr>
        <w:t>طاقوية</w:t>
      </w:r>
    </w:p>
    <w:tbl>
      <w:tblPr>
        <w:tblStyle w:val="Grilledutableau"/>
        <w:tblW w:w="10347" w:type="dxa"/>
        <w:tblInd w:w="534" w:type="dxa"/>
        <w:tblLook w:val="04A0"/>
      </w:tblPr>
      <w:tblGrid>
        <w:gridCol w:w="1842"/>
        <w:gridCol w:w="5670"/>
        <w:gridCol w:w="1985"/>
        <w:gridCol w:w="850"/>
      </w:tblGrid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الطالب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(</w:t>
            </w: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5670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  <w:r w:rsidRPr="005915CC"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  <w:t>عنوان مشروع نهاية الدراسة المقترح</w:t>
            </w:r>
          </w:p>
        </w:tc>
        <w:tc>
          <w:tcPr>
            <w:tcW w:w="1985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  <w:r w:rsidRPr="00E00EF1">
              <w:rPr>
                <w:rFonts w:cs="Arial" w:hint="cs"/>
                <w:b/>
                <w:bCs/>
                <w:sz w:val="32"/>
                <w:szCs w:val="32"/>
                <w:rtl/>
              </w:rPr>
              <w:t>الرقم</w:t>
            </w: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Modélisation des pertes de charge dans un conduit rectangulaire occasionnées par des chicanes de forme triangulaire</w:t>
            </w:r>
            <w:r w:rsidR="00657004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</w:p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عبد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الحفيظ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مومي</w:t>
            </w:r>
          </w:p>
          <w:p w:rsidR="00E20E3C" w:rsidRPr="00756FCA" w:rsidRDefault="00E20E3C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20E3C" w:rsidRPr="00756FCA" w:rsidRDefault="00E20E3C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657004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 xml:space="preserve">Réalisation et </w:t>
            </w:r>
            <w:r w:rsidR="00657004" w:rsidRPr="00756FCA">
              <w:rPr>
                <w:sz w:val="24"/>
                <w:szCs w:val="24"/>
              </w:rPr>
              <w:t>expérimentation</w:t>
            </w:r>
            <w:r w:rsidRPr="00756FCA">
              <w:rPr>
                <w:sz w:val="24"/>
                <w:szCs w:val="24"/>
              </w:rPr>
              <w:t xml:space="preserve"> d'un capteur solaire à eau couplé à un échangeur de chaleur à tubes et à </w:t>
            </w:r>
            <w:r w:rsidR="00657004" w:rsidRPr="00756FCA">
              <w:rPr>
                <w:sz w:val="24"/>
                <w:szCs w:val="24"/>
              </w:rPr>
              <w:t>ailettes.</w:t>
            </w:r>
          </w:p>
        </w:tc>
        <w:tc>
          <w:tcPr>
            <w:tcW w:w="1985" w:type="dxa"/>
            <w:vMerge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 xml:space="preserve">Calculs des pertes thermiques dans un échangeur de chaleur; application aux </w:t>
            </w:r>
            <w:r w:rsidR="00102749" w:rsidRPr="00756FCA">
              <w:rPr>
                <w:sz w:val="24"/>
                <w:szCs w:val="24"/>
              </w:rPr>
              <w:t>insolateurs</w:t>
            </w:r>
            <w:r w:rsidR="00657004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00EF1" w:rsidRPr="00756FCA" w:rsidRDefault="00E00EF1" w:rsidP="00E20E3C">
            <w:pPr>
              <w:jc w:val="center"/>
              <w:rPr>
                <w:b/>
                <w:bCs/>
                <w:sz w:val="28"/>
                <w:szCs w:val="28"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نور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الدين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مومي</w:t>
            </w:r>
          </w:p>
        </w:tc>
        <w:tc>
          <w:tcPr>
            <w:tcW w:w="850" w:type="dxa"/>
            <w:vMerge w:val="restart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 xml:space="preserve">Estimation de la température de sortie d'un </w:t>
            </w:r>
            <w:r w:rsidR="00102749" w:rsidRPr="00756FCA">
              <w:rPr>
                <w:sz w:val="24"/>
                <w:szCs w:val="24"/>
              </w:rPr>
              <w:t>insolateur</w:t>
            </w:r>
            <w:r w:rsidRPr="00756FCA">
              <w:rPr>
                <w:sz w:val="24"/>
                <w:szCs w:val="24"/>
              </w:rPr>
              <w:t xml:space="preserve"> sous divers </w:t>
            </w:r>
            <w:r w:rsidR="00102749" w:rsidRPr="00756FCA">
              <w:rPr>
                <w:sz w:val="24"/>
                <w:szCs w:val="24"/>
              </w:rPr>
              <w:t>contextes</w:t>
            </w:r>
            <w:r w:rsidRPr="00756FCA">
              <w:rPr>
                <w:sz w:val="24"/>
                <w:szCs w:val="24"/>
              </w:rPr>
              <w:t xml:space="preserve"> climatiques</w:t>
            </w:r>
            <w:r w:rsidR="00657004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Gestion des échanges thermiques des éléments électroniques</w:t>
            </w:r>
            <w:r w:rsidR="009D1AE9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نور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الدين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بلغار</w:t>
            </w:r>
          </w:p>
        </w:tc>
        <w:tc>
          <w:tcPr>
            <w:tcW w:w="850" w:type="dxa"/>
            <w:vMerge w:val="restart"/>
          </w:tcPr>
          <w:p w:rsidR="00E00EF1" w:rsidRPr="009D1AE9" w:rsidRDefault="00E00EF1" w:rsidP="00E00EF1">
            <w:pPr>
              <w:jc w:val="center"/>
              <w:rPr>
                <w:b/>
                <w:bCs/>
                <w:sz w:val="32"/>
                <w:szCs w:val="32"/>
                <w:highlight w:val="red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Etude d'un jet plan impactant sur une parol plane</w:t>
            </w:r>
          </w:p>
        </w:tc>
        <w:tc>
          <w:tcPr>
            <w:tcW w:w="1985" w:type="dxa"/>
            <w:vMerge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Etude de la convection forée laminaire sur une plaque plane chaude pour différents angle d'attaque</w:t>
            </w:r>
            <w:r w:rsidR="00102749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E20E3C" w:rsidRPr="00756FCA" w:rsidRDefault="00E20E3C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20E3C" w:rsidRPr="00756FCA" w:rsidRDefault="00E20E3C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شوقي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محبوب</w:t>
            </w:r>
          </w:p>
        </w:tc>
        <w:tc>
          <w:tcPr>
            <w:tcW w:w="850" w:type="dxa"/>
            <w:vMerge w:val="restart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 xml:space="preserve">Pertes de charge </w:t>
            </w:r>
            <w:r w:rsidR="00102749" w:rsidRPr="00756FCA">
              <w:rPr>
                <w:sz w:val="24"/>
                <w:szCs w:val="24"/>
              </w:rPr>
              <w:t>singulières</w:t>
            </w:r>
            <w:r w:rsidRPr="00756FCA">
              <w:rPr>
                <w:sz w:val="24"/>
                <w:szCs w:val="24"/>
              </w:rPr>
              <w:t xml:space="preserve"> d'un écoulement laminaire dans un rétrécissement graduel (tube de ventir)</w:t>
            </w:r>
            <w:r w:rsidR="00102749" w:rsidRPr="00756FC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  <w:lang w:val="en-US"/>
              </w:rPr>
            </w:pPr>
            <w:r w:rsidRPr="00756FCA">
              <w:rPr>
                <w:sz w:val="24"/>
                <w:szCs w:val="24"/>
                <w:lang w:val="en-US"/>
              </w:rPr>
              <w:t>Experimental study of natural-convection, solardrying systems</w:t>
            </w:r>
            <w:r w:rsidR="00657004" w:rsidRPr="00756FC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  <w:vMerge w:val="restart"/>
          </w:tcPr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00EF1" w:rsidRPr="00756FCA" w:rsidRDefault="00E00EF1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فؤاد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شعبان</w:t>
            </w:r>
          </w:p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RPr="00096BD6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00EF1" w:rsidRPr="00756FCA" w:rsidRDefault="00657004" w:rsidP="00E20E3C">
            <w:pPr>
              <w:jc w:val="center"/>
              <w:rPr>
                <w:sz w:val="24"/>
                <w:szCs w:val="24"/>
                <w:lang w:val="en-US"/>
              </w:rPr>
            </w:pPr>
            <w:r w:rsidRPr="00756FCA">
              <w:rPr>
                <w:sz w:val="24"/>
                <w:szCs w:val="24"/>
                <w:lang w:val="en-US"/>
              </w:rPr>
              <w:t>Prediction</w:t>
            </w:r>
            <w:r w:rsidR="00E00EF1" w:rsidRPr="00756FCA">
              <w:rPr>
                <w:sz w:val="24"/>
                <w:szCs w:val="24"/>
                <w:lang w:val="en-US"/>
              </w:rPr>
              <w:t xml:space="preserve"> of global </w:t>
            </w:r>
            <w:r w:rsidRPr="00756FCA">
              <w:rPr>
                <w:sz w:val="24"/>
                <w:szCs w:val="24"/>
                <w:lang w:val="en-US"/>
              </w:rPr>
              <w:t>solar</w:t>
            </w:r>
            <w:r w:rsidR="00E00EF1" w:rsidRPr="00756FCA">
              <w:rPr>
                <w:sz w:val="24"/>
                <w:szCs w:val="24"/>
                <w:lang w:val="en-US"/>
              </w:rPr>
              <w:t xml:space="preserve"> radiation on horizontal area according to Pressure, relative humidity and ambient temperature</w:t>
            </w:r>
          </w:p>
        </w:tc>
        <w:tc>
          <w:tcPr>
            <w:tcW w:w="1985" w:type="dxa"/>
            <w:vMerge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Merge/>
          </w:tcPr>
          <w:p w:rsidR="00E00EF1" w:rsidRPr="00657004" w:rsidRDefault="00E00EF1" w:rsidP="00E00EF1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Pr="00657004" w:rsidRDefault="00E00EF1" w:rsidP="00E00EF1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670" w:type="dxa"/>
          </w:tcPr>
          <w:p w:rsidR="00E00EF1" w:rsidRPr="00756FCA" w:rsidRDefault="00E00EF1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Etude numérique de conduction de chaleur par la méthode de volume finis</w:t>
            </w:r>
          </w:p>
        </w:tc>
        <w:tc>
          <w:tcPr>
            <w:tcW w:w="1985" w:type="dxa"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عبد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الواحد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علي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وعلي</w:t>
            </w:r>
          </w:p>
        </w:tc>
        <w:tc>
          <w:tcPr>
            <w:tcW w:w="850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00EF1" w:rsidTr="00756FCA">
        <w:tc>
          <w:tcPr>
            <w:tcW w:w="1842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9D1AE9" w:rsidRPr="00756FCA" w:rsidRDefault="00E00EF1" w:rsidP="005D4A77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Intensification des échanges thermiques dans un échangeur à double enveloppe en utilisant les nano-fluides</w:t>
            </w:r>
          </w:p>
        </w:tc>
        <w:tc>
          <w:tcPr>
            <w:tcW w:w="1985" w:type="dxa"/>
          </w:tcPr>
          <w:p w:rsidR="00E00EF1" w:rsidRPr="00756FCA" w:rsidRDefault="00E00EF1" w:rsidP="00E00EF1">
            <w:pPr>
              <w:jc w:val="center"/>
              <w:rPr>
                <w:b/>
                <w:bCs/>
                <w:sz w:val="28"/>
                <w:szCs w:val="28"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نورة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بولطيف</w:t>
            </w:r>
          </w:p>
        </w:tc>
        <w:tc>
          <w:tcPr>
            <w:tcW w:w="850" w:type="dxa"/>
          </w:tcPr>
          <w:p w:rsidR="00E00EF1" w:rsidRDefault="00E00EF1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756FCA" w:rsidRDefault="00E20E3C" w:rsidP="00E20E3C">
            <w:pPr>
              <w:tabs>
                <w:tab w:val="left" w:pos="2696"/>
              </w:tabs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Etude paramétrique de</w:t>
            </w:r>
            <w:r w:rsidRPr="00756FCA">
              <w:rPr>
                <w:sz w:val="24"/>
                <w:szCs w:val="24"/>
                <w:rtl/>
              </w:rPr>
              <w:t xml:space="preserve"> </w:t>
            </w:r>
            <w:r w:rsidR="009D1AE9" w:rsidRPr="00756FCA">
              <w:rPr>
                <w:sz w:val="24"/>
                <w:szCs w:val="24"/>
              </w:rPr>
              <w:t>compréhension</w:t>
            </w:r>
            <w:r w:rsidRPr="00756FCA">
              <w:rPr>
                <w:sz w:val="24"/>
                <w:szCs w:val="24"/>
              </w:rPr>
              <w:t xml:space="preserve"> le</w:t>
            </w:r>
            <w:r w:rsidRPr="00756FCA">
              <w:rPr>
                <w:sz w:val="24"/>
                <w:szCs w:val="24"/>
                <w:rtl/>
              </w:rPr>
              <w:t xml:space="preserve"> </w:t>
            </w:r>
            <w:r w:rsidRPr="00756FCA">
              <w:rPr>
                <w:sz w:val="24"/>
                <w:szCs w:val="24"/>
              </w:rPr>
              <w:t>problème de Taylor</w:t>
            </w:r>
            <w:r w:rsidRPr="00756FCA">
              <w:rPr>
                <w:sz w:val="24"/>
                <w:szCs w:val="24"/>
                <w:rtl/>
              </w:rPr>
              <w:t>-</w:t>
            </w:r>
            <w:r w:rsidRPr="00756FCA">
              <w:rPr>
                <w:sz w:val="24"/>
                <w:szCs w:val="24"/>
              </w:rPr>
              <w:t>Couette et la convection de Rayteigh-Bénard</w:t>
            </w:r>
          </w:p>
        </w:tc>
        <w:tc>
          <w:tcPr>
            <w:tcW w:w="1985" w:type="dxa"/>
            <w:vMerge w:val="restart"/>
          </w:tcPr>
          <w:p w:rsidR="00E20E3C" w:rsidRPr="00756FCA" w:rsidRDefault="00E20E3C" w:rsidP="00D97490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20E3C" w:rsidRPr="00756FCA" w:rsidRDefault="00E20E3C" w:rsidP="00D9749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20E3C" w:rsidRPr="00756FCA" w:rsidRDefault="00E20E3C" w:rsidP="00E20E3C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ميلود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زلوف</w:t>
            </w:r>
          </w:p>
          <w:p w:rsidR="00E20E3C" w:rsidRPr="00756FCA" w:rsidRDefault="00E20E3C" w:rsidP="00E20E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756FCA" w:rsidRDefault="00E20E3C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 xml:space="preserve">Etude préliminaire de la dynamique aéreutique; </w:t>
            </w:r>
            <w:r w:rsidR="009D1AE9" w:rsidRPr="00756FCA">
              <w:rPr>
                <w:sz w:val="24"/>
                <w:szCs w:val="24"/>
              </w:rPr>
              <w:t>structurale</w:t>
            </w:r>
            <w:r w:rsidRPr="00756FCA">
              <w:rPr>
                <w:sz w:val="24"/>
                <w:szCs w:val="24"/>
              </w:rPr>
              <w:t xml:space="preserve"> et stabilité de vol d'une fusée</w:t>
            </w:r>
          </w:p>
        </w:tc>
        <w:tc>
          <w:tcPr>
            <w:tcW w:w="1985" w:type="dxa"/>
            <w:vMerge/>
          </w:tcPr>
          <w:p w:rsidR="00E20E3C" w:rsidRPr="00756FCA" w:rsidRDefault="00E20E3C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rPr>
          <w:trHeight w:val="1045"/>
        </w:trPr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756FCA" w:rsidRDefault="00E20E3C" w:rsidP="00E20E3C">
            <w:pPr>
              <w:jc w:val="center"/>
              <w:rPr>
                <w:sz w:val="24"/>
                <w:szCs w:val="24"/>
              </w:rPr>
            </w:pPr>
            <w:r w:rsidRPr="00756FCA">
              <w:rPr>
                <w:sz w:val="24"/>
                <w:szCs w:val="24"/>
              </w:rPr>
              <w:t>Simulation numérique en CFD d'un échangeur de chaleur à ailettes carrées</w:t>
            </w:r>
          </w:p>
        </w:tc>
        <w:tc>
          <w:tcPr>
            <w:tcW w:w="1985" w:type="dxa"/>
            <w:vMerge w:val="restart"/>
          </w:tcPr>
          <w:p w:rsidR="00E20E3C" w:rsidRPr="00756FCA" w:rsidRDefault="00E20E3C" w:rsidP="00E00EF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E20E3C" w:rsidRPr="00756FCA" w:rsidRDefault="00E20E3C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عبد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الحكيم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بن</w:t>
            </w:r>
            <w:r w:rsidRPr="00756F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756FCA">
              <w:rPr>
                <w:rFonts w:cs="Arial" w:hint="cs"/>
                <w:b/>
                <w:bCs/>
                <w:sz w:val="28"/>
                <w:szCs w:val="28"/>
                <w:rtl/>
              </w:rPr>
              <w:t>مشيش</w:t>
            </w:r>
          </w:p>
          <w:p w:rsidR="00E20E3C" w:rsidRPr="00756FCA" w:rsidRDefault="00E20E3C" w:rsidP="00E00EF1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E20E3C" w:rsidRPr="00756FCA" w:rsidRDefault="00E20E3C" w:rsidP="00E00EF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rPr>
          <w:trHeight w:val="878"/>
        </w:trPr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9D1AE9" w:rsidRDefault="00E20E3C" w:rsidP="00E20E3C">
            <w:pPr>
              <w:jc w:val="center"/>
              <w:rPr>
                <w:sz w:val="24"/>
                <w:szCs w:val="24"/>
              </w:rPr>
            </w:pPr>
            <w:r w:rsidRPr="009D1AE9">
              <w:rPr>
                <w:sz w:val="24"/>
                <w:szCs w:val="24"/>
              </w:rPr>
              <w:t>Simulation numérique en CFD d'un écoulement dans un panneau solaire</w:t>
            </w:r>
          </w:p>
        </w:tc>
        <w:tc>
          <w:tcPr>
            <w:tcW w:w="1985" w:type="dxa"/>
            <w:vMerge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9D1AE9" w:rsidRDefault="00E20E3C" w:rsidP="00E00EF1">
            <w:pPr>
              <w:jc w:val="center"/>
              <w:rPr>
                <w:sz w:val="24"/>
                <w:szCs w:val="24"/>
              </w:rPr>
            </w:pPr>
            <w:r w:rsidRPr="009D1AE9">
              <w:rPr>
                <w:sz w:val="24"/>
                <w:szCs w:val="24"/>
              </w:rPr>
              <w:t>Etude parametrique des machines frigorifiques a absorption</w:t>
            </w:r>
          </w:p>
        </w:tc>
        <w:tc>
          <w:tcPr>
            <w:tcW w:w="1985" w:type="dxa"/>
            <w:vMerge w:val="restart"/>
          </w:tcPr>
          <w:p w:rsidR="00E20E3C" w:rsidRDefault="00E20E3C" w:rsidP="00D97490">
            <w:pPr>
              <w:jc w:val="center"/>
              <w:rPr>
                <w:b/>
                <w:bCs/>
                <w:sz w:val="32"/>
                <w:szCs w:val="32"/>
              </w:rPr>
            </w:pPr>
            <w:r w:rsidRPr="00E20E3C">
              <w:rPr>
                <w:rFonts w:cs="Arial" w:hint="cs"/>
                <w:b/>
                <w:bCs/>
                <w:sz w:val="32"/>
                <w:szCs w:val="32"/>
                <w:rtl/>
              </w:rPr>
              <w:t>عبد</w:t>
            </w:r>
            <w:r w:rsidRPr="00E20E3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20E3C">
              <w:rPr>
                <w:rFonts w:cs="Arial" w:hint="cs"/>
                <w:b/>
                <w:bCs/>
                <w:sz w:val="32"/>
                <w:szCs w:val="32"/>
                <w:rtl/>
              </w:rPr>
              <w:t>الغني</w:t>
            </w:r>
            <w:r w:rsidRPr="00E20E3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20E3C">
              <w:rPr>
                <w:rFonts w:cs="Arial" w:hint="cs"/>
                <w:b/>
                <w:bCs/>
                <w:sz w:val="32"/>
                <w:szCs w:val="32"/>
                <w:rtl/>
              </w:rPr>
              <w:t>لقرون</w:t>
            </w:r>
          </w:p>
        </w:tc>
        <w:tc>
          <w:tcPr>
            <w:tcW w:w="850" w:type="dxa"/>
            <w:vMerge w:val="restart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20E3C" w:rsidTr="00756FCA">
        <w:tc>
          <w:tcPr>
            <w:tcW w:w="1842" w:type="dxa"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</w:tcPr>
          <w:p w:rsidR="00E20E3C" w:rsidRPr="009D1AE9" w:rsidRDefault="00E20E3C" w:rsidP="00E00EF1">
            <w:pPr>
              <w:jc w:val="center"/>
              <w:rPr>
                <w:sz w:val="24"/>
                <w:szCs w:val="24"/>
              </w:rPr>
            </w:pPr>
            <w:r w:rsidRPr="009D1AE9">
              <w:rPr>
                <w:sz w:val="24"/>
                <w:szCs w:val="24"/>
              </w:rPr>
              <w:t>Optimisation du cycle frigorifique à absorption fonctionnant avec le couple H20/LiBr</w:t>
            </w:r>
          </w:p>
        </w:tc>
        <w:tc>
          <w:tcPr>
            <w:tcW w:w="1985" w:type="dxa"/>
            <w:vMerge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E20E3C" w:rsidRDefault="00E20E3C" w:rsidP="00E00EF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E00EF1" w:rsidRPr="00E00EF1" w:rsidRDefault="00E00EF1" w:rsidP="00E00EF1">
      <w:pPr>
        <w:jc w:val="center"/>
        <w:rPr>
          <w:b/>
          <w:bCs/>
          <w:sz w:val="32"/>
          <w:szCs w:val="32"/>
        </w:rPr>
      </w:pPr>
    </w:p>
    <w:sectPr w:rsidR="00E00EF1" w:rsidRPr="00E00EF1" w:rsidSect="00DD34BD">
      <w:headerReference w:type="default" r:id="rId6"/>
      <w:pgSz w:w="11906" w:h="16838"/>
      <w:pgMar w:top="357" w:right="567" w:bottom="35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D00" w:rsidRDefault="00160D00" w:rsidP="00DD34BD">
      <w:pPr>
        <w:spacing w:after="0" w:line="240" w:lineRule="auto"/>
      </w:pPr>
      <w:r>
        <w:separator/>
      </w:r>
    </w:p>
  </w:endnote>
  <w:endnote w:type="continuationSeparator" w:id="1">
    <w:p w:rsidR="00160D00" w:rsidRDefault="00160D00" w:rsidP="00DD3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D00" w:rsidRDefault="00160D00" w:rsidP="00DD34BD">
      <w:pPr>
        <w:spacing w:after="0" w:line="240" w:lineRule="auto"/>
      </w:pPr>
      <w:r>
        <w:separator/>
      </w:r>
    </w:p>
  </w:footnote>
  <w:footnote w:type="continuationSeparator" w:id="1">
    <w:p w:rsidR="00160D00" w:rsidRDefault="00160D00" w:rsidP="00DD3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3" w:type="dxa"/>
      <w:jc w:val="center"/>
      <w:tblBorders>
        <w:bottom w:val="single" w:sz="4" w:space="0" w:color="auto"/>
      </w:tblBorders>
      <w:tblLook w:val="04A0"/>
    </w:tblPr>
    <w:tblGrid>
      <w:gridCol w:w="4998"/>
      <w:gridCol w:w="2018"/>
      <w:gridCol w:w="3827"/>
    </w:tblGrid>
    <w:tr w:rsidR="00DD34BD" w:rsidRPr="00A7352D" w:rsidTr="007A0C46">
      <w:trPr>
        <w:trHeight w:hRule="exact" w:val="454"/>
        <w:jc w:val="center"/>
      </w:trPr>
      <w:tc>
        <w:tcPr>
          <w:tcW w:w="4998" w:type="dxa"/>
          <w:vAlign w:val="center"/>
        </w:tcPr>
        <w:p w:rsidR="00DD34BD" w:rsidRPr="00DC6648" w:rsidRDefault="00062099" w:rsidP="007A0C46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</w:pPr>
          <w:r>
            <w:rPr>
              <w:rFonts w:ascii="Times New Roman" w:hAnsi="Times New Roman"/>
              <w:b/>
              <w:bCs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6662783" o:spid="_x0000_s4097" type="#_x0000_t75" style="position:absolute;margin-left:30.65pt;margin-top:25.75pt;width:481.6pt;height:551pt;z-index:-251658240;mso-position-horizontal-relative:margin;mso-position-vertical-relative:margin" o:allowincell="f">
                <v:imagedata r:id="rId1" o:title="Université de Biskra2" gain="1.25"/>
                <w10:wrap anchorx="margin" anchory="margin"/>
              </v:shape>
            </w:pict>
          </w:r>
          <w:r w:rsidR="00DD34BD"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République Algérienne Démocratique et Populaire</w:t>
          </w:r>
        </w:p>
        <w:p w:rsidR="00DD34BD" w:rsidRPr="00DC6648" w:rsidRDefault="00DD34BD" w:rsidP="007A0C46">
          <w:pPr>
            <w:pStyle w:val="msoaddress"/>
            <w:widowControl w:val="0"/>
            <w:spacing w:line="240" w:lineRule="auto"/>
            <w:rPr>
              <w:rFonts w:ascii="Times New Roman" w:hAnsi="Times New Roman"/>
              <w:b/>
              <w:bCs/>
              <w:sz w:val="20"/>
              <w:szCs w:val="20"/>
            </w:rPr>
          </w:pP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Ministère de l’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E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nseignement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upérieur et de la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R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 xml:space="preserve">echerche </w:t>
          </w:r>
          <w:r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S</w:t>
          </w:r>
          <w:r w:rsidRPr="00DC6648">
            <w:rPr>
              <w:rFonts w:ascii="Times New Roman" w:hAnsi="Times New Roman"/>
              <w:b/>
              <w:bCs/>
              <w:sz w:val="20"/>
              <w:szCs w:val="20"/>
              <w:lang w:bidi="ar-DZ"/>
            </w:rPr>
            <w:t>cientifique</w:t>
          </w:r>
        </w:p>
      </w:tc>
      <w:tc>
        <w:tcPr>
          <w:tcW w:w="2018" w:type="dxa"/>
          <w:vMerge w:val="restart"/>
          <w:vAlign w:val="center"/>
        </w:tcPr>
        <w:p w:rsidR="00DD34BD" w:rsidRPr="00183937" w:rsidRDefault="00DD34BD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  <w:r>
            <w:rPr>
              <w:rFonts w:hint="cs"/>
              <w:noProof/>
              <w:sz w:val="14"/>
              <w:szCs w:val="16"/>
              <w:lang w:eastAsia="fr-FR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201295</wp:posOffset>
                </wp:positionH>
                <wp:positionV relativeFrom="paragraph">
                  <wp:posOffset>53975</wp:posOffset>
                </wp:positionV>
                <wp:extent cx="685800" cy="741680"/>
                <wp:effectExtent l="19050" t="19050" r="19050" b="20320"/>
                <wp:wrapNone/>
                <wp:docPr id="1" name="Image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  <w:vAlign w:val="center"/>
        </w:tcPr>
        <w:p w:rsidR="00DD34BD" w:rsidRPr="00DC6648" w:rsidRDefault="00DD34BD" w:rsidP="007A0C46">
          <w:pPr>
            <w:widowControl w:val="0"/>
            <w:bidi/>
            <w:rPr>
              <w:rFonts w:cs="Andalus"/>
              <w:lang w:bidi="ar-DZ"/>
            </w:rPr>
          </w:pPr>
          <w:r w:rsidRPr="00DC6648">
            <w:rPr>
              <w:rFonts w:cs="Andalus"/>
              <w:rtl/>
              <w:lang w:bidi="ar-DZ"/>
            </w:rPr>
            <w:t>الجمهورية الجزائرية الديمقراطية الشعبية</w:t>
          </w:r>
        </w:p>
        <w:p w:rsidR="00DD34BD" w:rsidRPr="00DC6648" w:rsidRDefault="00DD34BD" w:rsidP="007A0C46">
          <w:pPr>
            <w:widowControl w:val="0"/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وزارة التعليم</w:t>
          </w:r>
          <w:r w:rsidRPr="00DC6648">
            <w:rPr>
              <w:rFonts w:cs="Andalus"/>
              <w:rtl/>
              <w:lang w:bidi="ar-DZ"/>
            </w:rPr>
            <w:t xml:space="preserve"> العالي والبحث العلمي</w:t>
          </w:r>
        </w:p>
      </w:tc>
    </w:tr>
    <w:tr w:rsidR="00DD34BD" w:rsidRPr="00A7352D" w:rsidTr="007A0C46">
      <w:trPr>
        <w:trHeight w:hRule="exact" w:val="454"/>
        <w:jc w:val="center"/>
      </w:trPr>
      <w:tc>
        <w:tcPr>
          <w:tcW w:w="4998" w:type="dxa"/>
          <w:vAlign w:val="center"/>
        </w:tcPr>
        <w:p w:rsidR="00DD34BD" w:rsidRPr="00DC6648" w:rsidRDefault="00DD34BD" w:rsidP="007A0C46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Université Mohamed Khider – Biskra</w:t>
          </w:r>
        </w:p>
      </w:tc>
      <w:tc>
        <w:tcPr>
          <w:tcW w:w="2018" w:type="dxa"/>
          <w:vMerge/>
          <w:vAlign w:val="center"/>
        </w:tcPr>
        <w:p w:rsidR="00DD34BD" w:rsidRPr="00A7352D" w:rsidRDefault="00DD34BD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DD34BD" w:rsidRPr="00DC6648" w:rsidRDefault="00DD34BD" w:rsidP="007A0C46">
          <w:pPr>
            <w:pStyle w:val="msoaddress"/>
            <w:widowControl w:val="0"/>
            <w:bidi/>
            <w:spacing w:line="240" w:lineRule="auto"/>
            <w:rPr>
              <w:rFonts w:cs="Andalus"/>
              <w:sz w:val="22"/>
              <w:szCs w:val="22"/>
              <w:lang w:bidi="ar-DZ"/>
            </w:rPr>
          </w:pPr>
          <w:r w:rsidRPr="00DC6648">
            <w:rPr>
              <w:rFonts w:cs="Andalus" w:hint="cs"/>
              <w:sz w:val="22"/>
              <w:szCs w:val="22"/>
              <w:rtl/>
              <w:lang w:bidi="ar-DZ"/>
            </w:rPr>
            <w:t>جامعة محمد خيضر - بســـكرة</w:t>
          </w:r>
        </w:p>
      </w:tc>
    </w:tr>
    <w:tr w:rsidR="00DD34BD" w:rsidRPr="00A7352D" w:rsidTr="007A0C46">
      <w:trPr>
        <w:trHeight w:hRule="exact" w:val="454"/>
        <w:jc w:val="center"/>
      </w:trPr>
      <w:tc>
        <w:tcPr>
          <w:tcW w:w="4998" w:type="dxa"/>
          <w:vAlign w:val="center"/>
        </w:tcPr>
        <w:p w:rsidR="00DD34BD" w:rsidRPr="00183937" w:rsidRDefault="00DD34BD" w:rsidP="007A0C46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183937">
            <w:rPr>
              <w:b/>
              <w:bCs/>
              <w:sz w:val="20"/>
              <w:szCs w:val="20"/>
            </w:rPr>
            <w:t>Faculté des Sciences et de la Technologie</w:t>
          </w:r>
        </w:p>
      </w:tc>
      <w:tc>
        <w:tcPr>
          <w:tcW w:w="2018" w:type="dxa"/>
          <w:vMerge/>
          <w:vAlign w:val="center"/>
        </w:tcPr>
        <w:p w:rsidR="00DD34BD" w:rsidRPr="00183937" w:rsidRDefault="00DD34BD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DD34BD" w:rsidRPr="00DC6648" w:rsidRDefault="00DD34BD" w:rsidP="007A0C46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/>
              <w:rtl/>
              <w:lang w:bidi="ar-DZ"/>
            </w:rPr>
            <w:t>كلية العلوم والتكنولوجيا</w:t>
          </w:r>
        </w:p>
      </w:tc>
    </w:tr>
    <w:tr w:rsidR="00DD34BD" w:rsidRPr="00A7352D" w:rsidTr="007A0C46">
      <w:trPr>
        <w:trHeight w:hRule="exact" w:val="454"/>
        <w:jc w:val="center"/>
      </w:trPr>
      <w:tc>
        <w:tcPr>
          <w:tcW w:w="4998" w:type="dxa"/>
          <w:vAlign w:val="center"/>
        </w:tcPr>
        <w:p w:rsidR="00DD34BD" w:rsidRPr="00DC6648" w:rsidRDefault="00DD34BD" w:rsidP="007A0C46">
          <w:pPr>
            <w:widowControl w:val="0"/>
            <w:spacing w:line="240" w:lineRule="auto"/>
            <w:rPr>
              <w:b/>
              <w:bCs/>
              <w:sz w:val="20"/>
              <w:szCs w:val="20"/>
            </w:rPr>
          </w:pPr>
          <w:r w:rsidRPr="00DC6648">
            <w:rPr>
              <w:b/>
              <w:bCs/>
              <w:sz w:val="20"/>
              <w:szCs w:val="20"/>
            </w:rPr>
            <w:t>Département de Génie Mécanique</w:t>
          </w:r>
        </w:p>
      </w:tc>
      <w:tc>
        <w:tcPr>
          <w:tcW w:w="2018" w:type="dxa"/>
          <w:vMerge/>
          <w:vAlign w:val="center"/>
        </w:tcPr>
        <w:p w:rsidR="00DD34BD" w:rsidRPr="00A7352D" w:rsidRDefault="00DD34BD" w:rsidP="000C3FFD">
          <w:pPr>
            <w:tabs>
              <w:tab w:val="right" w:pos="9639"/>
            </w:tabs>
            <w:spacing w:after="6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DD34BD" w:rsidRPr="00DC6648" w:rsidRDefault="00DD34BD" w:rsidP="007A0C46">
          <w:pPr>
            <w:tabs>
              <w:tab w:val="right" w:pos="9639"/>
            </w:tabs>
            <w:bidi/>
            <w:rPr>
              <w:rFonts w:cs="Andalus"/>
            </w:rPr>
          </w:pPr>
          <w:r w:rsidRPr="00DC6648">
            <w:rPr>
              <w:rFonts w:cs="Andalus" w:hint="cs"/>
              <w:rtl/>
              <w:lang w:bidi="ar-DZ"/>
            </w:rPr>
            <w:t>قسم الهندسة الميكانيكية</w:t>
          </w:r>
        </w:p>
      </w:tc>
    </w:tr>
    <w:tr w:rsidR="00DD34BD" w:rsidRPr="00A7352D" w:rsidTr="007A0C46">
      <w:trPr>
        <w:trHeight w:hRule="exact" w:val="454"/>
        <w:jc w:val="center"/>
      </w:trPr>
      <w:tc>
        <w:tcPr>
          <w:tcW w:w="4998" w:type="dxa"/>
          <w:vAlign w:val="center"/>
        </w:tcPr>
        <w:p w:rsidR="00DD34BD" w:rsidRPr="00DC6648" w:rsidRDefault="00DD34BD" w:rsidP="007A0C46">
          <w:pPr>
            <w:pStyle w:val="msoorganizationname2"/>
            <w:widowControl w:val="0"/>
            <w:rPr>
              <w:sz w:val="20"/>
              <w:szCs w:val="20"/>
            </w:rPr>
          </w:pPr>
          <w:r w:rsidRPr="00DC6648">
            <w:rPr>
              <w:sz w:val="20"/>
              <w:szCs w:val="20"/>
            </w:rPr>
            <w:t>Réf. :   /C.D/DGM /</w:t>
          </w:r>
          <w:r>
            <w:rPr>
              <w:sz w:val="20"/>
              <w:szCs w:val="20"/>
            </w:rPr>
            <w:t>201</w:t>
          </w:r>
          <w:bookmarkStart w:id="0" w:name="_GoBack"/>
          <w:bookmarkEnd w:id="0"/>
          <w:r>
            <w:rPr>
              <w:sz w:val="20"/>
              <w:szCs w:val="20"/>
            </w:rPr>
            <w:t>9</w:t>
          </w:r>
        </w:p>
      </w:tc>
      <w:tc>
        <w:tcPr>
          <w:tcW w:w="2018" w:type="dxa"/>
          <w:vMerge/>
          <w:vAlign w:val="center"/>
        </w:tcPr>
        <w:p w:rsidR="00DD34BD" w:rsidRPr="00A7352D" w:rsidRDefault="00DD34BD" w:rsidP="000C3FFD">
          <w:pPr>
            <w:tabs>
              <w:tab w:val="right" w:pos="9639"/>
            </w:tabs>
            <w:spacing w:after="120"/>
            <w:jc w:val="center"/>
            <w:rPr>
              <w:sz w:val="14"/>
              <w:szCs w:val="16"/>
            </w:rPr>
          </w:pPr>
        </w:p>
      </w:tc>
      <w:tc>
        <w:tcPr>
          <w:tcW w:w="3827" w:type="dxa"/>
          <w:vAlign w:val="center"/>
        </w:tcPr>
        <w:p w:rsidR="00DD34BD" w:rsidRPr="00DC6648" w:rsidRDefault="00DD34BD" w:rsidP="007A0C46">
          <w:pPr>
            <w:bidi/>
            <w:rPr>
              <w:rFonts w:cs="Andalus"/>
              <w:i/>
              <w:iCs/>
              <w:rtl/>
              <w:lang w:bidi="ar-DZ"/>
            </w:rPr>
          </w:pPr>
          <w:r w:rsidRPr="00DC6648">
            <w:rPr>
              <w:rFonts w:cs="Andalus" w:hint="cs"/>
              <w:i/>
              <w:iCs/>
              <w:rtl/>
              <w:lang w:bidi="ar-DZ"/>
            </w:rPr>
            <w:t>المرجع :           /ر.ق/ ق.هـ.</w:t>
          </w:r>
          <w:r>
            <w:rPr>
              <w:rFonts w:cs="Andalus" w:hint="cs"/>
              <w:i/>
              <w:iCs/>
              <w:rtl/>
              <w:lang w:bidi="ar-DZ"/>
            </w:rPr>
            <w:t>م</w:t>
          </w:r>
          <w:r>
            <w:rPr>
              <w:rFonts w:cs="Andalus"/>
              <w:i/>
              <w:iCs/>
              <w:lang w:bidi="ar-DZ"/>
            </w:rPr>
            <w:t>2019</w:t>
          </w:r>
        </w:p>
      </w:tc>
    </w:tr>
  </w:tbl>
  <w:p w:rsidR="00DD34BD" w:rsidRDefault="00DD34BD" w:rsidP="00DD34B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00EF1"/>
    <w:rsid w:val="00054548"/>
    <w:rsid w:val="00062099"/>
    <w:rsid w:val="00096BD6"/>
    <w:rsid w:val="00102749"/>
    <w:rsid w:val="00160D00"/>
    <w:rsid w:val="001C4FE6"/>
    <w:rsid w:val="00261E96"/>
    <w:rsid w:val="00283623"/>
    <w:rsid w:val="00291276"/>
    <w:rsid w:val="00385E78"/>
    <w:rsid w:val="004930E3"/>
    <w:rsid w:val="004B328F"/>
    <w:rsid w:val="005D4A77"/>
    <w:rsid w:val="00657004"/>
    <w:rsid w:val="006C5898"/>
    <w:rsid w:val="00756FCA"/>
    <w:rsid w:val="007A0C46"/>
    <w:rsid w:val="009D1AE9"/>
    <w:rsid w:val="009D5173"/>
    <w:rsid w:val="00B37F68"/>
    <w:rsid w:val="00BD2666"/>
    <w:rsid w:val="00DD34BD"/>
    <w:rsid w:val="00E00EF1"/>
    <w:rsid w:val="00E20E3C"/>
    <w:rsid w:val="00FC26C6"/>
    <w:rsid w:val="00FF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00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D3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34BD"/>
  </w:style>
  <w:style w:type="paragraph" w:styleId="Pieddepage">
    <w:name w:val="footer"/>
    <w:basedOn w:val="Normal"/>
    <w:link w:val="PieddepageCar"/>
    <w:uiPriority w:val="99"/>
    <w:semiHidden/>
    <w:unhideWhenUsed/>
    <w:rsid w:val="00DD3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D34BD"/>
  </w:style>
  <w:style w:type="paragraph" w:customStyle="1" w:styleId="msoaddress">
    <w:name w:val="msoaddress"/>
    <w:rsid w:val="00DD34BD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DD34BD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IMS-06</dc:creator>
  <cp:lastModifiedBy>FST</cp:lastModifiedBy>
  <cp:revision>2</cp:revision>
  <cp:lastPrinted>2018-09-16T08:22:00Z</cp:lastPrinted>
  <dcterms:created xsi:type="dcterms:W3CDTF">2018-09-16T08:25:00Z</dcterms:created>
  <dcterms:modified xsi:type="dcterms:W3CDTF">2018-09-16T08:25:00Z</dcterms:modified>
</cp:coreProperties>
</file>